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7777777" w:rsidR="009E6784" w:rsidRPr="00F06F98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bookmarkStart w:id="0" w:name="_GoBack"/>
      <w:bookmarkEnd w:id="0"/>
    </w:p>
    <w:p w14:paraId="645A6405" w14:textId="58B46F55" w:rsidR="009E6784" w:rsidRPr="00F06F98" w:rsidRDefault="004541D2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192AEBD4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57489F1A" w:rsidR="00A4387A" w:rsidRPr="00A4387A" w:rsidRDefault="00990AD7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เกี่ยวกับภาษีมูลค่าเพิ่ม 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FF5CE2">
        <w:rPr>
          <w:rFonts w:ascii="TH SarabunIT๙" w:hAnsi="TH SarabunIT๙" w:cs="TH SarabunIT๙" w:hint="cs"/>
          <w:sz w:val="34"/>
          <w:szCs w:val="34"/>
          <w:cs/>
        </w:rPr>
        <w:t>244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AE1AA43" w14:textId="1ABF8621" w:rsidR="00F06F98" w:rsidRPr="00644B7D" w:rsidRDefault="00A4387A" w:rsidP="0095234B">
      <w:pPr>
        <w:tabs>
          <w:tab w:val="left" w:pos="19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r w:rsidR="00990AD7" w:rsidRPr="00990AD7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การกำหนดภาษีซื้อที่ไม่ให้นำไปหักในการคำนวณภาษีมูลค่าเพิ่ม</w:t>
      </w:r>
      <w:r w:rsidR="007A5630"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990AD7" w:rsidRPr="00990AD7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ตามมาตรา 82/5</w:t>
      </w:r>
      <w:r w:rsidR="000578D5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 xml:space="preserve"> </w:t>
      </w:r>
      <w:r w:rsidR="00990AD7" w:rsidRPr="00990AD7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(6) แห่งประมวลรัษฎากร</w:t>
      </w:r>
    </w:p>
    <w:p w14:paraId="2E4DA44F" w14:textId="77777777" w:rsidR="00F06F98" w:rsidRPr="00644B7D" w:rsidRDefault="00A4387A" w:rsidP="0095234B">
      <w:pPr>
        <w:tabs>
          <w:tab w:val="left" w:pos="1980"/>
          <w:tab w:val="left" w:pos="46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4B6B7B48">
                <wp:simplePos x="0" y="0"/>
                <wp:positionH relativeFrom="margin">
                  <wp:posOffset>2393619</wp:posOffset>
                </wp:positionH>
                <wp:positionV relativeFrom="paragraph">
                  <wp:posOffset>168910</wp:posOffset>
                </wp:positionV>
                <wp:extent cx="977900" cy="0"/>
                <wp:effectExtent l="0" t="0" r="0" b="0"/>
                <wp:wrapSquare wrapText="bothSides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8915A6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45pt,13.3pt" to="2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73A5279D" w14:textId="5CBCDD76" w:rsidR="00A4387A" w:rsidRPr="00644B7D" w:rsidRDefault="00A4387A" w:rsidP="0095234B">
      <w:pPr>
        <w:tabs>
          <w:tab w:val="left" w:pos="1134"/>
          <w:tab w:val="left" w:pos="1560"/>
          <w:tab w:val="left" w:pos="198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990AD7" w:rsidRPr="00990AD7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อาศัยอำนาจตามความในมาตรา 82/5</w:t>
      </w:r>
      <w:r w:rsidR="006932A9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990AD7" w:rsidRPr="00990AD7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(6) แห่งประมวลรัษฎากร ซึ่งแก้ไขเพิ่มเติมโดยพระราชบัญญัติแก้ไขเพิ่มเติมประมวลรัษฎากร (ฉบับที่ 30) พ.ศ. 2534 อธิบดีกรมสรรพากรโดยอนุมัติรัฐมนตรีว่าการกระทรวงการคลัง กำหนดภาษีซื้อที่ไม่ให้นำไปหักในการคำนวณภาษีไว้ ดังต่อไปนี้</w:t>
      </w:r>
    </w:p>
    <w:p w14:paraId="42DC3BA6" w14:textId="5488DBD2" w:rsidR="00567150" w:rsidRPr="00567150" w:rsidRDefault="00CA2AE2" w:rsidP="00B2668E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5F7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ab/>
      </w:r>
      <w:r w:rsidR="00DC4ACD"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ข้อ</w:t>
      </w:r>
      <w:r w:rsidR="00DC4ACD" w:rsidRPr="00644B7D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B2668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1</w:t>
      </w:r>
      <w:r w:rsidR="00810340"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ab/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ให้ยกเลิกความใน (ก) และ (ข) ของวรรคสองของ (4) ของข้อ 2 ของประกาศอธิบดีกรมสรรพากร เกี่ยวกับภาษีมูลค่าเพิ่ม (ฉบับที่ 42) เรื่อง การกำหนดภาษีซื้อที่ไม่ให้นำไปหัก</w:t>
      </w:r>
      <w:r w:rsidR="001D253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990AD7" w:rsidRPr="001D2534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ในการคำนวณภาษีมูลค่าเพิ่ม ตามมาตรา 82/5</w:t>
      </w:r>
      <w:r w:rsidR="000578D5" w:rsidRPr="001D2534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 xml:space="preserve"> </w:t>
      </w:r>
      <w:r w:rsidR="00990AD7" w:rsidRPr="001D2534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(6) แห่งประมวลรัษฎากร ลงวันที่ 29 ธันวาคม พ.ศ. 2535</w:t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990AD7" w:rsidRPr="004A034C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 xml:space="preserve">ซึ่งแก้ไขเพิ่มเติมโดยประกาศอธิบดีกรมสรรพากร เกี่ยวกับภาษีมูลค่าเพิ่ม (ฉบับที่ </w:t>
      </w:r>
      <w:r w:rsidR="00990AD7" w:rsidRPr="004A034C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192</w:t>
      </w:r>
      <w:r w:rsidR="00990AD7" w:rsidRPr="004A034C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) เรื่อง การกำหนด</w:t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ภาษีซื้อที่ไม่ให้นำไปหักในการคำนวณภาษีมูลค่าเพิ่ม ตามมาตรา 82/5</w:t>
      </w:r>
      <w:r w:rsid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(6) แห่งประมวลรัษฎากร </w:t>
      </w:r>
      <w:r w:rsid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ลงวันที่ 18 </w:t>
      </w:r>
      <w:r w:rsidR="00990AD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มีนาคม</w:t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พ.ศ. 255</w:t>
      </w:r>
      <w:r w:rsidR="00990AD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="00990AD7" w:rsidRPr="00990A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และให้ใช้ความต่อไปนี้แทน</w:t>
      </w:r>
    </w:p>
    <w:p w14:paraId="53D35B29" w14:textId="182E8DB2" w:rsidR="00990AD7" w:rsidRPr="004E75FC" w:rsidRDefault="00990AD7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 w:rsidRPr="004A03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</w:t>
      </w:r>
      <w:r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(ก) การปรับปรุงโครงสร้างหนี้ของสถาบันการเงินที่กระทำกับลูกหนี้ของสถาบันการเงิน </w:t>
      </w:r>
      <w:r w:rsidRPr="004A03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โดยได้ดำเนินการตามหลักเกณฑ์การปรับปรุงโครงสร้างหนี้ของสถาบันการเงินที่ธนาคารแห่งประเทศไทย</w:t>
      </w:r>
      <w:r w:rsidRPr="004E75F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ประกาศกำหนด และได้กระทำใน</w:t>
      </w:r>
      <w:r w:rsidR="004E75FC" w:rsidRPr="004E75F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ระหว่าง</w:t>
      </w:r>
      <w:r w:rsidRPr="004E75F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วันที่ 1 มกราคม พ.ศ. 25</w:t>
      </w:r>
      <w:r w:rsidRPr="004E75F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65</w:t>
      </w:r>
      <w:r w:rsidRPr="004E75F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ถึงวันที่ 31 ธันวาคม พ.ศ. 25</w:t>
      </w:r>
      <w:r w:rsidRPr="004E75F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69</w:t>
      </w:r>
    </w:p>
    <w:p w14:paraId="0565BA22" w14:textId="5EDE24E5" w:rsidR="00990AD7" w:rsidRPr="004A034C" w:rsidRDefault="00990AD7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(ข) การปรับปรุงโครงสร้างหนี้ของเจ้าหนี้อื่นที่กระทำกับลูกหนี้ของเจ้าหนี้อื่นโดยนำหลักเกณฑ์การปรับปรุงโครงสร้างหนี้ของสถาบันการเงินที่ธนาคารแห่งประเทศไทยประกาศกำหนดมาใช้โดยอนุโลม และเป็นหนี้ที่ต้องดำเนินการปรับปรุงโครงสร้างหนี้ตามหลักเกณฑ์การปรับปรุงโครงสร้างหนี้ของสถาบันการเงินที่ธนาคารแห่งประเทศไทยประกาศกำหนด และได้กระทำใน</w:t>
      </w:r>
      <w:r w:rsidR="004E75F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ระหว่าง</w:t>
      </w:r>
      <w:r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วันที่ 1 มกราคม พ.ศ. 25</w:t>
      </w:r>
      <w:r w:rsidRPr="004A03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65</w:t>
      </w:r>
      <w:r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ถึงวันที่ 31 ธันวาคม พ.ศ. 25</w:t>
      </w:r>
      <w:r w:rsidRPr="004A03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69”</w:t>
      </w:r>
    </w:p>
    <w:p w14:paraId="5E633C68" w14:textId="45FA4DF1" w:rsidR="00990AD7" w:rsidRPr="006932A9" w:rsidRDefault="000578D5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2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ให้ยกเลิก</w:t>
      </w:r>
      <w:r w:rsidR="006932A9"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ความใน</w:t>
      </w:r>
      <w:r w:rsidR="007A3306"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วรรคสามของ (4)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ของข้อ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2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ของประกาศอธิบดีกรมสรรพากร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เกี่ยวกับภาษีมูลค่าเพิ่ม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(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ฉบับที่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42)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เรื่อง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การกำหนดภาษีซื้อที่ไม่ให้นำไปหักในการคำนวณ</w:t>
      </w:r>
      <w:r w:rsidR="006932A9"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ภาษีมูลค่า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เพิ่ม ตามมาตรา 82/5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(6) แห่งประมวลรัษฎากร ลงวันที่ 29 ธันวาคม พ.ศ. 2535 </w:t>
      </w:r>
      <w:r w:rsid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6932A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ซึ่งแก้ไขเพิ่มเติมโดยประกาศอธิบดีกรมสรรพากร เกี่ยวกับภาษีมูลค่าเพิ่ม (ฉบับที่ 1</w:t>
      </w:r>
      <w:r w:rsidRPr="006932A9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92</w:t>
      </w:r>
      <w:r w:rsidRPr="006932A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) เรื่อง การกำหนด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ภาษีซื้อที่ไม่ให้นำไปหักในการคำนวณภาษีมูลค่าเพิ่ม ตามมาตรา 82/5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(6) แห่งประมวลรัษฎากร </w:t>
      </w:r>
      <w:r w:rsidR="007A3306"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ลงวันที่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18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มีนาคม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พ.ศ. 255</w:t>
      </w:r>
      <w:r w:rsidRPr="006932A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Pr="006932A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และให้ใช้ความต่อไปนี้แทน</w:t>
      </w:r>
    </w:p>
    <w:p w14:paraId="036753A8" w14:textId="2E01160B" w:rsidR="004A034C" w:rsidRDefault="004A034C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</w:p>
    <w:p w14:paraId="0056D35E" w14:textId="101DB176" w:rsidR="004A034C" w:rsidRDefault="004A034C" w:rsidP="004A034C">
      <w:pPr>
        <w:tabs>
          <w:tab w:val="left" w:pos="1134"/>
          <w:tab w:val="left" w:pos="1560"/>
          <w:tab w:val="left" w:pos="1843"/>
          <w:tab w:val="left" w:pos="1980"/>
        </w:tabs>
        <w:spacing w:before="120"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proofErr w:type="gramStart"/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/ 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“ใน (ก) และ </w:t>
      </w: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...</w:t>
      </w:r>
      <w:proofErr w:type="gramEnd"/>
    </w:p>
    <w:p w14:paraId="2994837C" w14:textId="13197C58" w:rsidR="008422D7" w:rsidRDefault="008422D7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</w:p>
    <w:p w14:paraId="53C40147" w14:textId="77777777" w:rsidR="000E5CE0" w:rsidRDefault="000E5CE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</w:p>
    <w:p w14:paraId="52429C40" w14:textId="5247DA74" w:rsidR="00990AD7" w:rsidRDefault="000578D5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lastRenderedPageBreak/>
        <w:t>“</w:t>
      </w:r>
      <w:r w:rsidRPr="000578D5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ใน (ก) และ (ข) ของวรรคสอง</w:t>
      </w:r>
    </w:p>
    <w:p w14:paraId="6DE3339F" w14:textId="137A897F" w:rsidR="00990AD7" w:rsidRDefault="000578D5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>“</w:t>
      </w:r>
      <w:r w:rsidRPr="000578D5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สถาบันการเงิน</w:t>
      </w:r>
      <w:r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>”</w:t>
      </w:r>
      <w:r w:rsidRPr="000578D5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 xml:space="preserve"> </w:t>
      </w:r>
      <w:r w:rsidRPr="000578D5"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>หมายความว่า</w:t>
      </w:r>
    </w:p>
    <w:p w14:paraId="3D524D61" w14:textId="70C6BBF4" w:rsidR="000578D5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(๑) สถาบันการเงินของรัฐที่มีกฎหมายเฉพาะจัดตั้งขึ้น</w:t>
      </w:r>
    </w:p>
    <w:p w14:paraId="13256E17" w14:textId="12755E94" w:rsidR="00725258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(๒) สถาบันการเงินตามกฎหมายว่าด้วยธุรกิจสถาบันการเงิน</w:t>
      </w:r>
    </w:p>
    <w:p w14:paraId="3BBA0D9C" w14:textId="29CC04A3" w:rsidR="00725258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(๓) บริษัทบริหารสินทรัพย์ตามกฎหมายว่าด้วยบริษัทบริหารสินทรัพย์</w:t>
      </w:r>
    </w:p>
    <w:p w14:paraId="61AA8BBC" w14:textId="21D0E69D" w:rsidR="000578D5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๔) นิติบุคคลอื่นที่อธิบดีประกาศกำหนดโดยอนุมัติรัฐมนตรี</w:t>
      </w:r>
    </w:p>
    <w:p w14:paraId="606B52F5" w14:textId="32E685CC" w:rsidR="000578D5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“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เจ้าหนี้อื่น” หมายความว่า</w:t>
      </w:r>
    </w:p>
    <w:p w14:paraId="77CBA613" w14:textId="7108D2B2" w:rsidR="000578D5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๑) เจ้าหนี้ที่เป็นบริษัทที่มิใช่สถาบันการเงิน</w:t>
      </w:r>
    </w:p>
    <w:p w14:paraId="7CDDCADB" w14:textId="4D3247D2" w:rsidR="00990AD7" w:rsidRDefault="00725258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 xml:space="preserve">๒) </w:t>
      </w:r>
      <w:r w:rsidRPr="001D2534">
        <w:rPr>
          <w:rFonts w:ascii="TH SarabunIT๙" w:eastAsia="Times New Roman" w:hAnsi="TH SarabunIT๙" w:cs="TH SarabunIT๙"/>
          <w:color w:val="000000"/>
          <w:spacing w:val="-14"/>
          <w:sz w:val="34"/>
          <w:szCs w:val="34"/>
          <w:cs/>
        </w:rPr>
        <w:t>เจ้าหนี้อื่นนอกจาก (๑) ที่ได้ดำเนินการเจรจาร่วมกับสถาบันการเงินในการปรับปรุงโครงสร้างหนี้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ให้แก่ลูกหนี้ และได้ทำความตกลงเป็นหนังสือร่วมกับเจ้าหนี้ซึ่งเป็นสถาบันการเงิน</w:t>
      </w:r>
    </w:p>
    <w:p w14:paraId="542E547F" w14:textId="77777777" w:rsidR="00725258" w:rsidRPr="00725258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“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 xml:space="preserve">บริษัทที่มิใช่สถาบันการเงิน” </w:t>
      </w:r>
      <w:proofErr w:type="gramStart"/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หมายความว่า  บริษัทที่มิใช่สถาบันการเงินตามกฎหมายว่าด้วยธุรกิจสถาบันการเงินและประกอบธุรกิจดังต่อไปนี้</w:t>
      </w:r>
      <w:proofErr w:type="gramEnd"/>
    </w:p>
    <w:p w14:paraId="106C5DA9" w14:textId="172F9EDC" w:rsidR="00725258" w:rsidRPr="00725258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๑) บริษัทที่ประกอบธุรกิจบัตรเครดิตซึ่งเป็นกิจการที่ต้องขออนุญาตตามกฎหมาย</w:t>
      </w:r>
    </w:p>
    <w:p w14:paraId="6938464C" w14:textId="5E888A93" w:rsidR="00725258" w:rsidRPr="008422D7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 xml:space="preserve">๒) </w:t>
      </w:r>
      <w:r w:rsidRPr="008422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บริษัทที่ประกอบธุรกิจสินเชื่อส่วนบุคคลภายใต้การกำกับซึ่งเป็นกิจการที่ต้องขออนุญาตตามกฎหมาย</w:t>
      </w:r>
    </w:p>
    <w:p w14:paraId="2EEDC2FA" w14:textId="01043D62" w:rsidR="00725258" w:rsidRPr="00725258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๓) บริษัทที่ประกอบธุรกิจสินเชื่อรายย่อยเพื่อการประกอบอาชีพภายใต้การกำกับซึ่งเป็นกิจการที่ต้องขออนุญาตตามกฎหมาย</w:t>
      </w:r>
    </w:p>
    <w:p w14:paraId="725DC3D7" w14:textId="1AB39B37" w:rsidR="00725258" w:rsidRPr="004A034C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 w:rsidRPr="004A03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</w:t>
      </w:r>
      <w:r w:rsidRPr="004A03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๔) บริษัทที่ประกอบธุรกิจสินเชื่อรายย่อยระดับจังหวัดภายใต้การกำกับซึ่งเป็นกิจการที่ต้องขออนุญาตตามกฎหมาย</w:t>
      </w:r>
    </w:p>
    <w:p w14:paraId="2E26CC97" w14:textId="37391620" w:rsidR="00725258" w:rsidRPr="004A034C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4A034C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4A034C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๕) บริษัทที่ประกอบธุรกิจให้เช่าซื้อที่มีหลักทรัพย์จดทะเบียนในตลาดหลักทรัพย์แห่งประเทศไทย</w:t>
      </w:r>
    </w:p>
    <w:p w14:paraId="502A9CFB" w14:textId="2412929B" w:rsidR="00725258" w:rsidRPr="008422D7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4A034C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</w:rPr>
        <w:t>(</w:t>
      </w:r>
      <w:r w:rsidRPr="004A034C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 xml:space="preserve">๖) </w:t>
      </w:r>
      <w:r w:rsidRPr="008422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บริษัทที่ประกอบธุรกิจให้เช่าแบบลี</w:t>
      </w:r>
      <w:proofErr w:type="spellStart"/>
      <w:r w:rsidRPr="008422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สซิ่ง</w:t>
      </w:r>
      <w:proofErr w:type="spellEnd"/>
      <w:r w:rsidRPr="008422D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ที่มีหลักทรัพย์จดทะเบียนในตลาดหลักทรัพย์แห่งประเทศไทย</w:t>
      </w:r>
    </w:p>
    <w:p w14:paraId="0DD5372F" w14:textId="218B1D36" w:rsidR="00725258" w:rsidRPr="00725258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๗) บริษัทที่ประกอบธุรกิจให้เช่าซื้อที่เป็นบริษัทในกลุ่มธุรกิจทางการเงิน</w:t>
      </w:r>
    </w:p>
    <w:p w14:paraId="47B2AC10" w14:textId="70EC7595" w:rsidR="00725258" w:rsidRPr="00725258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</w:pP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</w:rPr>
        <w:t>(</w:t>
      </w:r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๘) บริษัทที่ประกอบธุรกิจให้เช่าแบบลี</w:t>
      </w:r>
      <w:proofErr w:type="spellStart"/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สซิ่ง</w:t>
      </w:r>
      <w:proofErr w:type="spellEnd"/>
      <w:r w:rsidRPr="00725258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ที่เป็นบริษัทในกลุ่มธุรกิจทางการเงิน</w:t>
      </w:r>
    </w:p>
    <w:p w14:paraId="2C7FBF2D" w14:textId="3A67D495" w:rsidR="00725258" w:rsidRPr="004A034C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 w:rsidRPr="004A03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</w:t>
      </w:r>
      <w:r w:rsidRPr="004A03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๙) บริษัทที่มิใช่สถาบันการเงินอื่นที่เข้าร่วมและดำเนินการตามโครงการช่วยเหลือลูกหนี้ของธนาคารแห่งประเทศไทย</w:t>
      </w:r>
    </w:p>
    <w:p w14:paraId="322A1D5C" w14:textId="4FF80940" w:rsidR="00990AD7" w:rsidRPr="00DF4444" w:rsidRDefault="00725258" w:rsidP="00725258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DF4444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“</w:t>
      </w:r>
      <w:r w:rsidRPr="00DF4444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บริษัทในกลุ่มธุรกิจทางการเงิน” หมายความว่า บริษัทในกลุ่มธุรกิจทางการเงินตามกฎหมาย</w:t>
      </w:r>
      <w:r w:rsidRPr="00DF44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ว่าด้วยธุรกิจสถาบันการเงิน</w:t>
      </w:r>
    </w:p>
    <w:p w14:paraId="41A3F384" w14:textId="79083BBD" w:rsidR="00725258" w:rsidRPr="00DF4444" w:rsidRDefault="009429D4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DF44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</w:t>
      </w:r>
      <w:r w:rsidRPr="00DF44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</w:t>
      </w:r>
      <w:r w:rsidRPr="00DF44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”</w:t>
      </w:r>
      <w:r w:rsidRPr="00DF44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</w:t>
      </w:r>
      <w:r w:rsidR="00DF4444" w:rsidRPr="00DF44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ให้หมายความรวมถึงผู้ค้ำประกันของลูกหนี้ด้วย</w:t>
      </w:r>
      <w:r w:rsidR="00BC043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”</w:t>
      </w:r>
    </w:p>
    <w:p w14:paraId="71B43B58" w14:textId="755BB59D" w:rsidR="009E6784" w:rsidRPr="00644B7D" w:rsidRDefault="00367FF2" w:rsidP="00367FF2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F5CE2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FF5CE2">
        <w:rPr>
          <w:rFonts w:ascii="TH SarabunIT๙" w:hAnsi="TH SarabunIT๙" w:cs="TH SarabunIT๙" w:hint="cs"/>
          <w:sz w:val="34"/>
          <w:szCs w:val="34"/>
          <w:cs/>
        </w:rPr>
        <w:t xml:space="preserve">  19  พฤษภาคม  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>พ.ศ.  ๒๕6</w:t>
      </w:r>
      <w:r w:rsidR="003C1ED2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2A55901D" w14:textId="77777777" w:rsidR="009E6784" w:rsidRPr="00644B7D" w:rsidRDefault="009E6784" w:rsidP="000E5CE0">
      <w:pPr>
        <w:tabs>
          <w:tab w:val="left" w:pos="851"/>
          <w:tab w:val="left" w:pos="1276"/>
          <w:tab w:val="left" w:pos="1843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190408A" w14:textId="5DFDC89A" w:rsidR="00D144C4" w:rsidRPr="00644B7D" w:rsidRDefault="00FF5CE2" w:rsidP="00FF5CE2">
      <w:pPr>
        <w:tabs>
          <w:tab w:val="left" w:pos="851"/>
          <w:tab w:val="left" w:pos="1276"/>
          <w:tab w:val="left" w:pos="1980"/>
        </w:tabs>
        <w:spacing w:before="120"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</w:t>
      </w:r>
      <w:r w:rsidRPr="00FF5CE2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FF5CE2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1519927D" w14:textId="3A2C5609" w:rsidR="00954431" w:rsidRPr="00644B7D" w:rsidRDefault="009E6784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67FF2">
        <w:rPr>
          <w:rFonts w:ascii="TH SarabunIT๙" w:hAnsi="TH SarabunIT๙" w:cs="TH SarabunIT๙" w:hint="cs"/>
          <w:sz w:val="34"/>
          <w:szCs w:val="34"/>
          <w:cs/>
        </w:rPr>
        <w:tab/>
      </w:r>
      <w:r w:rsidRPr="00644B7D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644B7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644B7D">
        <w:rPr>
          <w:rFonts w:ascii="TH SarabunIT๙" w:hAnsi="TH SarabunIT๙" w:cs="TH SarabunIT๙"/>
          <w:sz w:val="34"/>
          <w:szCs w:val="34"/>
          <w:cs/>
        </w:rPr>
        <w:t>)</w:t>
      </w:r>
    </w:p>
    <w:p w14:paraId="3A9D8FC0" w14:textId="26C6EC92" w:rsidR="00CD30E6" w:rsidRPr="00644B7D" w:rsidRDefault="00367FF2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CD30E6" w:rsidRPr="00644B7D" w:rsidSect="000E5CE0">
      <w:headerReference w:type="default" r:id="rId10"/>
      <w:pgSz w:w="11906" w:h="16838" w:code="9"/>
      <w:pgMar w:top="709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EA3B8" w14:textId="77777777" w:rsidR="00237132" w:rsidRDefault="00237132" w:rsidP="00803596">
      <w:pPr>
        <w:spacing w:after="0" w:line="240" w:lineRule="auto"/>
      </w:pPr>
      <w:r>
        <w:separator/>
      </w:r>
    </w:p>
  </w:endnote>
  <w:endnote w:type="continuationSeparator" w:id="0">
    <w:p w14:paraId="05A0C3CD" w14:textId="77777777" w:rsidR="00237132" w:rsidRDefault="00237132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779E3" w14:textId="77777777" w:rsidR="00237132" w:rsidRDefault="00237132" w:rsidP="00803596">
      <w:pPr>
        <w:spacing w:after="0" w:line="240" w:lineRule="auto"/>
      </w:pPr>
      <w:r>
        <w:separator/>
      </w:r>
    </w:p>
  </w:footnote>
  <w:footnote w:type="continuationSeparator" w:id="0">
    <w:p w14:paraId="251FF124" w14:textId="77777777" w:rsidR="00237132" w:rsidRDefault="00237132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52A3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0757F"/>
    <w:rsid w:val="00027838"/>
    <w:rsid w:val="0003005C"/>
    <w:rsid w:val="000409BF"/>
    <w:rsid w:val="0005250F"/>
    <w:rsid w:val="000556F5"/>
    <w:rsid w:val="000578D5"/>
    <w:rsid w:val="000745DF"/>
    <w:rsid w:val="000B235B"/>
    <w:rsid w:val="000C0F9B"/>
    <w:rsid w:val="000C3643"/>
    <w:rsid w:val="000C6EE8"/>
    <w:rsid w:val="000D07F4"/>
    <w:rsid w:val="000D3ECF"/>
    <w:rsid w:val="000D3FE1"/>
    <w:rsid w:val="000E5CE0"/>
    <w:rsid w:val="000E65C2"/>
    <w:rsid w:val="00101167"/>
    <w:rsid w:val="00101AFB"/>
    <w:rsid w:val="001051DB"/>
    <w:rsid w:val="00140082"/>
    <w:rsid w:val="001410FD"/>
    <w:rsid w:val="00142058"/>
    <w:rsid w:val="001649E3"/>
    <w:rsid w:val="00171A50"/>
    <w:rsid w:val="001855C2"/>
    <w:rsid w:val="00185BCF"/>
    <w:rsid w:val="001B11F9"/>
    <w:rsid w:val="001C2B88"/>
    <w:rsid w:val="001D2534"/>
    <w:rsid w:val="002025FB"/>
    <w:rsid w:val="00236E9D"/>
    <w:rsid w:val="00237132"/>
    <w:rsid w:val="00247F66"/>
    <w:rsid w:val="0025484C"/>
    <w:rsid w:val="00261082"/>
    <w:rsid w:val="00262B69"/>
    <w:rsid w:val="002B375A"/>
    <w:rsid w:val="002B60EC"/>
    <w:rsid w:val="002C15D3"/>
    <w:rsid w:val="002C1A90"/>
    <w:rsid w:val="002C458B"/>
    <w:rsid w:val="002C54C9"/>
    <w:rsid w:val="002C562E"/>
    <w:rsid w:val="002C6E8C"/>
    <w:rsid w:val="002E0616"/>
    <w:rsid w:val="00323D1E"/>
    <w:rsid w:val="003249D7"/>
    <w:rsid w:val="003307B1"/>
    <w:rsid w:val="00337458"/>
    <w:rsid w:val="0034734E"/>
    <w:rsid w:val="003560B6"/>
    <w:rsid w:val="00357C0E"/>
    <w:rsid w:val="003653F3"/>
    <w:rsid w:val="00366F09"/>
    <w:rsid w:val="00367FF2"/>
    <w:rsid w:val="00370D99"/>
    <w:rsid w:val="003734BF"/>
    <w:rsid w:val="00381371"/>
    <w:rsid w:val="00386009"/>
    <w:rsid w:val="003A36CE"/>
    <w:rsid w:val="003A5A9D"/>
    <w:rsid w:val="003C1ED2"/>
    <w:rsid w:val="003D332C"/>
    <w:rsid w:val="003D5DBA"/>
    <w:rsid w:val="003D5EFD"/>
    <w:rsid w:val="00402631"/>
    <w:rsid w:val="00404292"/>
    <w:rsid w:val="00413732"/>
    <w:rsid w:val="0044191F"/>
    <w:rsid w:val="004541D2"/>
    <w:rsid w:val="00455381"/>
    <w:rsid w:val="0045738D"/>
    <w:rsid w:val="00467D39"/>
    <w:rsid w:val="0047368E"/>
    <w:rsid w:val="00482A8A"/>
    <w:rsid w:val="004A034C"/>
    <w:rsid w:val="004A05DE"/>
    <w:rsid w:val="004B1ED4"/>
    <w:rsid w:val="004B6BAD"/>
    <w:rsid w:val="004B7346"/>
    <w:rsid w:val="004D2F78"/>
    <w:rsid w:val="004E0580"/>
    <w:rsid w:val="004E4A55"/>
    <w:rsid w:val="004E75FC"/>
    <w:rsid w:val="004F5EA2"/>
    <w:rsid w:val="00502007"/>
    <w:rsid w:val="00506F32"/>
    <w:rsid w:val="005117A8"/>
    <w:rsid w:val="00521D30"/>
    <w:rsid w:val="005572E1"/>
    <w:rsid w:val="00565B98"/>
    <w:rsid w:val="00567150"/>
    <w:rsid w:val="00574A82"/>
    <w:rsid w:val="00574BF5"/>
    <w:rsid w:val="00576C9E"/>
    <w:rsid w:val="00583049"/>
    <w:rsid w:val="00586AEC"/>
    <w:rsid w:val="005B2CA6"/>
    <w:rsid w:val="005B5138"/>
    <w:rsid w:val="005D02B0"/>
    <w:rsid w:val="006079FB"/>
    <w:rsid w:val="00627ED6"/>
    <w:rsid w:val="00644B7D"/>
    <w:rsid w:val="00682083"/>
    <w:rsid w:val="00686676"/>
    <w:rsid w:val="006932A9"/>
    <w:rsid w:val="006B43BC"/>
    <w:rsid w:val="006C05E7"/>
    <w:rsid w:val="006C1DC1"/>
    <w:rsid w:val="006C39E4"/>
    <w:rsid w:val="006D4773"/>
    <w:rsid w:val="006F274D"/>
    <w:rsid w:val="006F30C9"/>
    <w:rsid w:val="0070423D"/>
    <w:rsid w:val="00725258"/>
    <w:rsid w:val="007260BF"/>
    <w:rsid w:val="007367D7"/>
    <w:rsid w:val="00745BD5"/>
    <w:rsid w:val="00753DB2"/>
    <w:rsid w:val="00792A76"/>
    <w:rsid w:val="0079740C"/>
    <w:rsid w:val="007A3306"/>
    <w:rsid w:val="007A4EA4"/>
    <w:rsid w:val="007A5630"/>
    <w:rsid w:val="007B7363"/>
    <w:rsid w:val="007C460F"/>
    <w:rsid w:val="007D56CB"/>
    <w:rsid w:val="007E048A"/>
    <w:rsid w:val="007E2F3B"/>
    <w:rsid w:val="007E3588"/>
    <w:rsid w:val="00801AF8"/>
    <w:rsid w:val="00803596"/>
    <w:rsid w:val="00810340"/>
    <w:rsid w:val="008422D7"/>
    <w:rsid w:val="008441AC"/>
    <w:rsid w:val="00850559"/>
    <w:rsid w:val="008632E8"/>
    <w:rsid w:val="00890C56"/>
    <w:rsid w:val="00897245"/>
    <w:rsid w:val="008B1DE9"/>
    <w:rsid w:val="008B5980"/>
    <w:rsid w:val="008B6A9C"/>
    <w:rsid w:val="008C53F0"/>
    <w:rsid w:val="008E01BB"/>
    <w:rsid w:val="008E4877"/>
    <w:rsid w:val="008F6FDD"/>
    <w:rsid w:val="00921455"/>
    <w:rsid w:val="00923F08"/>
    <w:rsid w:val="00934891"/>
    <w:rsid w:val="009429D4"/>
    <w:rsid w:val="0095234B"/>
    <w:rsid w:val="00952A35"/>
    <w:rsid w:val="00954431"/>
    <w:rsid w:val="00955199"/>
    <w:rsid w:val="00955F8D"/>
    <w:rsid w:val="00961F9E"/>
    <w:rsid w:val="00966B1B"/>
    <w:rsid w:val="00973FDF"/>
    <w:rsid w:val="0097436C"/>
    <w:rsid w:val="00990449"/>
    <w:rsid w:val="00990AD7"/>
    <w:rsid w:val="009D3F29"/>
    <w:rsid w:val="009D6ECF"/>
    <w:rsid w:val="009E6784"/>
    <w:rsid w:val="00A0336B"/>
    <w:rsid w:val="00A07844"/>
    <w:rsid w:val="00A35E79"/>
    <w:rsid w:val="00A4387A"/>
    <w:rsid w:val="00A46F3C"/>
    <w:rsid w:val="00A6062A"/>
    <w:rsid w:val="00A60AEF"/>
    <w:rsid w:val="00A676B0"/>
    <w:rsid w:val="00A709C6"/>
    <w:rsid w:val="00A76BC3"/>
    <w:rsid w:val="00A846B8"/>
    <w:rsid w:val="00AA2457"/>
    <w:rsid w:val="00AA2546"/>
    <w:rsid w:val="00AA3AE7"/>
    <w:rsid w:val="00AB315E"/>
    <w:rsid w:val="00AB649D"/>
    <w:rsid w:val="00AB6F93"/>
    <w:rsid w:val="00AC7049"/>
    <w:rsid w:val="00AD5425"/>
    <w:rsid w:val="00B06316"/>
    <w:rsid w:val="00B14282"/>
    <w:rsid w:val="00B2668E"/>
    <w:rsid w:val="00B344C6"/>
    <w:rsid w:val="00B5370D"/>
    <w:rsid w:val="00B63381"/>
    <w:rsid w:val="00B65199"/>
    <w:rsid w:val="00B67F36"/>
    <w:rsid w:val="00B8004F"/>
    <w:rsid w:val="00B94C3F"/>
    <w:rsid w:val="00BA796B"/>
    <w:rsid w:val="00BB3479"/>
    <w:rsid w:val="00BB50E9"/>
    <w:rsid w:val="00BC0439"/>
    <w:rsid w:val="00BC3B04"/>
    <w:rsid w:val="00BC7892"/>
    <w:rsid w:val="00BD53FD"/>
    <w:rsid w:val="00BF64C1"/>
    <w:rsid w:val="00BF6675"/>
    <w:rsid w:val="00C02204"/>
    <w:rsid w:val="00C244D1"/>
    <w:rsid w:val="00C33DC4"/>
    <w:rsid w:val="00C4147D"/>
    <w:rsid w:val="00C51A63"/>
    <w:rsid w:val="00C52756"/>
    <w:rsid w:val="00C84FCE"/>
    <w:rsid w:val="00C93995"/>
    <w:rsid w:val="00CA2AE2"/>
    <w:rsid w:val="00CA363B"/>
    <w:rsid w:val="00CA5AAD"/>
    <w:rsid w:val="00CB48C0"/>
    <w:rsid w:val="00CC68F1"/>
    <w:rsid w:val="00CC7D8E"/>
    <w:rsid w:val="00CD30E6"/>
    <w:rsid w:val="00CE46C6"/>
    <w:rsid w:val="00CE5215"/>
    <w:rsid w:val="00CF035F"/>
    <w:rsid w:val="00CF681A"/>
    <w:rsid w:val="00D00FCE"/>
    <w:rsid w:val="00D020F9"/>
    <w:rsid w:val="00D024D1"/>
    <w:rsid w:val="00D02845"/>
    <w:rsid w:val="00D11094"/>
    <w:rsid w:val="00D144C4"/>
    <w:rsid w:val="00D2710C"/>
    <w:rsid w:val="00D42550"/>
    <w:rsid w:val="00D5344A"/>
    <w:rsid w:val="00D56377"/>
    <w:rsid w:val="00D773C2"/>
    <w:rsid w:val="00D777AB"/>
    <w:rsid w:val="00D90452"/>
    <w:rsid w:val="00D92AEE"/>
    <w:rsid w:val="00DA02C9"/>
    <w:rsid w:val="00DB633E"/>
    <w:rsid w:val="00DC4ACD"/>
    <w:rsid w:val="00DD59D4"/>
    <w:rsid w:val="00DF4444"/>
    <w:rsid w:val="00E00557"/>
    <w:rsid w:val="00E15F79"/>
    <w:rsid w:val="00E171C2"/>
    <w:rsid w:val="00E40CF0"/>
    <w:rsid w:val="00E41BF6"/>
    <w:rsid w:val="00E60A83"/>
    <w:rsid w:val="00E61CAF"/>
    <w:rsid w:val="00E65893"/>
    <w:rsid w:val="00E6651D"/>
    <w:rsid w:val="00E71D6D"/>
    <w:rsid w:val="00E736B8"/>
    <w:rsid w:val="00E752BD"/>
    <w:rsid w:val="00E75774"/>
    <w:rsid w:val="00E8068C"/>
    <w:rsid w:val="00ED0925"/>
    <w:rsid w:val="00ED7BF2"/>
    <w:rsid w:val="00EE1302"/>
    <w:rsid w:val="00EE7E08"/>
    <w:rsid w:val="00EF4BAE"/>
    <w:rsid w:val="00EF4FB0"/>
    <w:rsid w:val="00F03A1B"/>
    <w:rsid w:val="00F06F98"/>
    <w:rsid w:val="00F12568"/>
    <w:rsid w:val="00F44B69"/>
    <w:rsid w:val="00F80E34"/>
    <w:rsid w:val="00F82D19"/>
    <w:rsid w:val="00FB424C"/>
    <w:rsid w:val="00FB441C"/>
    <w:rsid w:val="00FB623D"/>
    <w:rsid w:val="00FC7CEA"/>
    <w:rsid w:val="00FE5B5E"/>
    <w:rsid w:val="00FF0761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88A5-1988-4CC9-A18A-2DBAB9F4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2022-03-24T08:15:00Z</cp:lastPrinted>
  <dcterms:created xsi:type="dcterms:W3CDTF">2022-05-27T07:08:00Z</dcterms:created>
  <dcterms:modified xsi:type="dcterms:W3CDTF">2022-05-27T07:08:00Z</dcterms:modified>
</cp:coreProperties>
</file>