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E823" w14:textId="6B1FBCE8" w:rsidR="00D7685F" w:rsidRDefault="00D7685F" w:rsidP="005608CB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พระราชบัญญัติ</w:t>
      </w:r>
    </w:p>
    <w:p w14:paraId="6CAA7B60" w14:textId="77777777" w:rsidR="00D7685F" w:rsidRDefault="00D7685F" w:rsidP="005608CB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๔๕</w:t>
      </w:r>
      <w:r>
        <w:rPr>
          <w:rFonts w:ascii="THSarabunPSK" w:hAnsi="THSarabunPSK" w:cs="THSarabunPSK"/>
          <w:sz w:val="34"/>
          <w:szCs w:val="34"/>
        </w:rPr>
        <w:t>)</w:t>
      </w:r>
    </w:p>
    <w:p w14:paraId="634C0AF5" w14:textId="0532DBF2" w:rsidR="00D7685F" w:rsidRDefault="00D7685F" w:rsidP="005608CB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0B2C9933" w14:textId="0F42716A" w:rsidR="00E255C3" w:rsidRDefault="00E255C3" w:rsidP="005608CB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</w:t>
      </w:r>
    </w:p>
    <w:p w14:paraId="774D4738" w14:textId="77777777" w:rsidR="00D7685F" w:rsidRDefault="00D7685F" w:rsidP="005608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สมเด็จพระเจ้าอยู่หัวมหา</w:t>
      </w:r>
      <w:proofErr w:type="spellStart"/>
      <w:r>
        <w:rPr>
          <w:rFonts w:ascii="THSarabunPSK" w:hAnsi="THSarabunPSK" w:cs="THSarabunPSK" w:hint="cs"/>
          <w:sz w:val="48"/>
          <w:szCs w:val="48"/>
          <w:cs/>
        </w:rPr>
        <w:t>วชิ</w:t>
      </w:r>
      <w:proofErr w:type="spellEnd"/>
      <w:r>
        <w:rPr>
          <w:rFonts w:ascii="THSarabunPSK" w:hAnsi="THSarabunPSK" w:cs="THSarabunPSK" w:hint="cs"/>
          <w:sz w:val="48"/>
          <w:szCs w:val="48"/>
          <w:cs/>
        </w:rPr>
        <w:t>ราลงกรณ</w:t>
      </w:r>
      <w:r>
        <w:rPr>
          <w:rFonts w:ascii="THSarabunPSK" w:hAnsi="THSarabunPSK" w:cs="THSarabunPSK"/>
          <w:sz w:val="48"/>
          <w:szCs w:val="48"/>
        </w:rPr>
        <w:t xml:space="preserve"> </w:t>
      </w:r>
      <w:r>
        <w:rPr>
          <w:rFonts w:ascii="THSarabunPSK" w:hAnsi="THSarabunPSK" w:cs="THSarabunPSK" w:hint="cs"/>
          <w:sz w:val="48"/>
          <w:szCs w:val="48"/>
          <w:cs/>
        </w:rPr>
        <w:t>บดินทรเทพ</w:t>
      </w:r>
      <w:proofErr w:type="spellStart"/>
      <w:r>
        <w:rPr>
          <w:rFonts w:ascii="THSarabunPSK" w:hAnsi="THSarabunPSK" w:cs="THSarabunPSK" w:hint="cs"/>
          <w:sz w:val="48"/>
          <w:szCs w:val="48"/>
          <w:cs/>
        </w:rPr>
        <w:t>ยว</w:t>
      </w:r>
      <w:proofErr w:type="spellEnd"/>
      <w:r>
        <w:rPr>
          <w:rFonts w:ascii="THSarabunPSK" w:hAnsi="THSarabunPSK" w:cs="THSarabunPSK" w:hint="cs"/>
          <w:sz w:val="48"/>
          <w:szCs w:val="48"/>
          <w:cs/>
        </w:rPr>
        <w:t>รางกูร</w:t>
      </w:r>
    </w:p>
    <w:p w14:paraId="6AB236F6" w14:textId="77777777" w:rsidR="00D7685F" w:rsidRDefault="00D7685F" w:rsidP="005608CB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๓๐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มีนาคม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51F372E1" w14:textId="77777777" w:rsidR="00D7685F" w:rsidRDefault="005608CB" w:rsidP="005608CB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/>
          <w:sz w:val="34"/>
          <w:szCs w:val="34"/>
        </w:rPr>
        <w:tab/>
      </w:r>
      <w:r>
        <w:rPr>
          <w:rFonts w:ascii="THSarabunPSK" w:hAnsi="THSarabunPSK" w:cs="THSarabunPSK"/>
          <w:sz w:val="34"/>
          <w:szCs w:val="34"/>
        </w:rPr>
        <w:tab/>
      </w:r>
      <w:r>
        <w:rPr>
          <w:rFonts w:ascii="THSarabunPSK" w:hAnsi="THSarabunPSK" w:cs="THSarabunPSK"/>
          <w:sz w:val="34"/>
          <w:szCs w:val="34"/>
        </w:rPr>
        <w:tab/>
      </w:r>
      <w:r>
        <w:rPr>
          <w:rFonts w:ascii="THSarabunPSK" w:hAnsi="THSarabunPSK" w:cs="THSarabunPSK"/>
          <w:sz w:val="34"/>
          <w:szCs w:val="34"/>
        </w:rPr>
        <w:tab/>
        <w:t xml:space="preserve">       </w:t>
      </w:r>
      <w:r w:rsidR="00D7685F">
        <w:rPr>
          <w:rFonts w:ascii="THSarabunPSK" w:hAnsi="THSarabunPSK" w:cs="THSarabunPSK" w:hint="cs"/>
          <w:sz w:val="34"/>
          <w:szCs w:val="34"/>
          <w:cs/>
        </w:rPr>
        <w:t>เป็นปีที่</w:t>
      </w:r>
      <w:r w:rsidR="00D7685F">
        <w:rPr>
          <w:rFonts w:ascii="THSarabunPSK" w:hAnsi="THSarabunPSK" w:cs="THSarabunPSK"/>
          <w:sz w:val="34"/>
          <w:szCs w:val="34"/>
        </w:rPr>
        <w:t xml:space="preserve"> </w:t>
      </w:r>
      <w:r w:rsidR="00D7685F">
        <w:rPr>
          <w:rFonts w:ascii="THSarabunPSK" w:hAnsi="THSarabunPSK" w:cs="THSarabunPSK" w:hint="cs"/>
          <w:sz w:val="34"/>
          <w:szCs w:val="34"/>
          <w:cs/>
        </w:rPr>
        <w:t>๒</w:t>
      </w:r>
      <w:r w:rsidR="00D7685F">
        <w:rPr>
          <w:rFonts w:ascii="THSarabunPSK" w:hAnsi="THSarabunPSK" w:cs="THSarabunPSK"/>
          <w:sz w:val="34"/>
          <w:szCs w:val="34"/>
        </w:rPr>
        <w:t xml:space="preserve"> </w:t>
      </w:r>
      <w:r w:rsidR="00D7685F">
        <w:rPr>
          <w:rFonts w:ascii="THSarabunPSK" w:hAnsi="THSarabunPSK" w:cs="THSarabunPSK" w:hint="cs"/>
          <w:sz w:val="34"/>
          <w:szCs w:val="34"/>
          <w:cs/>
        </w:rPr>
        <w:t>ในรัชกาลปัจจุบัน</w:t>
      </w:r>
    </w:p>
    <w:p w14:paraId="70DE1652" w14:textId="130B3783" w:rsidR="00E255C3" w:rsidRDefault="00D7685F" w:rsidP="00E255C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สมเด็จพระเจ้าอยู่หัวมหาวชิราลงกรณ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บดินทรเทพยวรางกูร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มีพระราชโองการโปรดเกล้าฯ</w:t>
      </w:r>
    </w:p>
    <w:p w14:paraId="038AF0B7" w14:textId="030F7B1C" w:rsidR="00D7685F" w:rsidRDefault="00D7685F" w:rsidP="00E255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ให้ประกาศว่า</w:t>
      </w:r>
    </w:p>
    <w:p w14:paraId="04416132" w14:textId="77777777" w:rsidR="00D7685F" w:rsidRDefault="00D7685F" w:rsidP="00E255C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โดยที่เป็นการสมควรแก้ไขเพิ่มเติมประมวลรัษฎากร</w:t>
      </w:r>
    </w:p>
    <w:p w14:paraId="2175AC7B" w14:textId="57C505E0" w:rsidR="00E255C3" w:rsidRDefault="00D7685F" w:rsidP="00E255C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 w:hint="cs"/>
          <w:sz w:val="34"/>
          <w:szCs w:val="34"/>
          <w:cs/>
        </w:rPr>
      </w:pPr>
      <w:r>
        <w:rPr>
          <w:rFonts w:ascii="THSarabunPSK" w:hAnsi="THSarabunPSK" w:cs="THSarabunPSK" w:hint="cs"/>
          <w:sz w:val="34"/>
          <w:szCs w:val="34"/>
          <w:cs/>
        </w:rPr>
        <w:t>จึงทรงพระกรุณาโปรดเกล้าฯ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ให้ตรา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พระราชบัญญัติขึ้นไว้โดยคำแนะนำและ</w:t>
      </w:r>
      <w:r>
        <w:rPr>
          <w:rFonts w:ascii="THSarabunPSK" w:hAnsi="THSarabunPSK" w:cs="THSarabunPSK" w:hint="cs"/>
          <w:sz w:val="34"/>
          <w:szCs w:val="34"/>
          <w:cs/>
        </w:rPr>
        <w:t>ยินยอมของ</w:t>
      </w:r>
    </w:p>
    <w:p w14:paraId="5B3A5DEE" w14:textId="0BB09C52" w:rsidR="00D7685F" w:rsidRDefault="00D7685F" w:rsidP="00E255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สภานิติบัญญัติแห่งชาติ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0DB65ADA" w14:textId="27C822CE" w:rsidR="00E255C3" w:rsidRPr="00A83CAB" w:rsidRDefault="00D7685F" w:rsidP="00E255C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A83CAB">
        <w:rPr>
          <w:rFonts w:ascii="TH SarabunPSK" w:hAnsi="TH SarabunPSK" w:cs="TH SarabunPSK" w:hint="cs"/>
          <w:spacing w:val="10"/>
          <w:sz w:val="34"/>
          <w:szCs w:val="34"/>
          <w:cs/>
        </w:rPr>
        <w:t>มาตรา</w:t>
      </w:r>
      <w:r w:rsidRPr="00A83CAB">
        <w:rPr>
          <w:rFonts w:ascii="TH SarabunPSK" w:hAnsi="TH SarabunPSK" w:cs="TH SarabunPSK"/>
          <w:spacing w:val="10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10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พระราชบัญญัตินี้เรียกว่า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</w:rPr>
        <w:t>“</w:t>
      </w:r>
      <w:r w:rsidRPr="00A83CAB">
        <w:rPr>
          <w:rFonts w:ascii="TH SarabunPSK" w:hAnsi="TH SarabunPSK" w:cs="TH SarabunPSK" w:hint="cs"/>
          <w:spacing w:val="10"/>
          <w:sz w:val="34"/>
          <w:szCs w:val="34"/>
          <w:cs/>
        </w:rPr>
        <w:t>พระราชบัญญัติแก้ไขเพิ่มเติมประมวลรัษฎากร</w:t>
      </w:r>
    </w:p>
    <w:p w14:paraId="69325816" w14:textId="43EC08DC" w:rsidR="00D7685F" w:rsidRDefault="00D7685F" w:rsidP="00E255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๔๕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14:paraId="68EAB66A" w14:textId="315016E8" w:rsidR="00E255C3" w:rsidRDefault="00D7685F" w:rsidP="00E255C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 w:hint="cs"/>
          <w:sz w:val="34"/>
          <w:szCs w:val="34"/>
          <w:cs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10"/>
          <w:sz w:val="34"/>
          <w:szCs w:val="34"/>
          <w:cs/>
        </w:rPr>
        <w:t>พระราชบัญญัตินี้ให้ใช้บังคับตั้งแต่วันถัดจาก</w:t>
      </w:r>
      <w:r>
        <w:rPr>
          <w:rFonts w:ascii="THSarabunPSK" w:hAnsi="THSarabunPSK" w:cs="THSarabunPSK" w:hint="cs"/>
          <w:sz w:val="34"/>
          <w:szCs w:val="34"/>
          <w:cs/>
        </w:rPr>
        <w:t>วันประกาศในราชกิจจา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นุเ</w:t>
      </w:r>
      <w:proofErr w:type="spellEnd"/>
      <w:r>
        <w:rPr>
          <w:rFonts w:ascii="THSarabunPSK" w:hAnsi="THSarabunPSK" w:cs="THSarabunPSK" w:hint="cs"/>
          <w:sz w:val="34"/>
          <w:szCs w:val="34"/>
          <w:cs/>
        </w:rPr>
        <w:t>บกษา</w:t>
      </w:r>
    </w:p>
    <w:p w14:paraId="4B6A4205" w14:textId="5603C007" w:rsidR="00D7685F" w:rsidRDefault="00D7685F" w:rsidP="00E255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14:paraId="4EDFE3B5" w14:textId="7E2F88DE" w:rsidR="00E255C3" w:rsidRDefault="00D7685F" w:rsidP="00E255C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ให้เพิ่ม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ความต่อไปนี้เป็นมาตรา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๓๗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ตรี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ในส่วน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บทกำหนดโทษ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ของหมวด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</w:p>
    <w:p w14:paraId="4673A796" w14:textId="231DC9BD" w:rsidR="00D7685F" w:rsidRDefault="00D7685F" w:rsidP="00E255C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วิธีการเกี่ยวแก่ภาษีอากรประเมิน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ของลักษณะ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ภาษีอากรฝ่ายสรรพากร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</w:p>
    <w:p w14:paraId="450262DA" w14:textId="77777777" w:rsidR="00A83CAB" w:rsidRDefault="00D7685F" w:rsidP="00A83CA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มาตรา</w:t>
      </w:r>
      <w:r w:rsidRPr="00A83CA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๓๗</w:t>
      </w:r>
      <w:r w:rsidRPr="00A83CA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ตรี</w:t>
      </w:r>
      <w:r w:rsidRPr="00A83CA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ความผิดตามมาตรา</w:t>
      </w:r>
      <w:r w:rsidRPr="00A83CA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๓๗</w:t>
      </w:r>
      <w:r w:rsidRPr="00A83CA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มาตรา</w:t>
      </w:r>
      <w:r w:rsidRPr="00A83CA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A83CAB">
        <w:rPr>
          <w:rFonts w:ascii="TH SarabunPSK" w:hAnsi="TH SarabunPSK" w:cs="TH SarabunPSK" w:hint="cs"/>
          <w:spacing w:val="6"/>
          <w:sz w:val="34"/>
          <w:szCs w:val="34"/>
          <w:cs/>
        </w:rPr>
        <w:t>๓๗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ทวิ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๙๐</w:t>
      </w:r>
      <w:r>
        <w:rPr>
          <w:rFonts w:ascii="THSarabunPSK" w:hAnsi="THSarabunPSK" w:cs="THSarabunPSK"/>
          <w:sz w:val="34"/>
          <w:szCs w:val="34"/>
        </w:rPr>
        <w:t>/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 w:rsidR="00A83CAB"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ที่ผู้กระทำ</w:t>
      </w:r>
    </w:p>
    <w:p w14:paraId="353CA3A6" w14:textId="49D0E1FD" w:rsidR="00D7685F" w:rsidRDefault="00D7685F" w:rsidP="00175DF7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ความผิดเป็นผู้มีหน้าที่เสียภาษีอากรหรือนำส่งภาษีอากร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และเป็นความผิดที่เกี่ยวกับจำนวน</w:t>
      </w:r>
      <w:r w:rsidR="001229EF">
        <w:rPr>
          <w:rFonts w:ascii="THSarabunPSK" w:hAnsi="THSarabunPSK" w:cs="THSarabunPSK"/>
          <w:sz w:val="34"/>
          <w:szCs w:val="34"/>
        </w:rPr>
        <w:br/>
      </w:r>
      <w:r w:rsidRPr="001229EF">
        <w:rPr>
          <w:rFonts w:ascii="TH SarabunPSK" w:hAnsi="TH SarabunPSK" w:cs="TH SarabunPSK" w:hint="cs"/>
          <w:spacing w:val="-4"/>
          <w:sz w:val="34"/>
          <w:szCs w:val="34"/>
          <w:cs/>
        </w:rPr>
        <w:t>ภาษีอากรที่หลีกเลี่ยงหรือฉ้อโกงตั้งแต่สิบล้านบาทต่อปีภาษีขึ้นไป</w:t>
      </w:r>
      <w:r w:rsidRPr="001229EF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1229EF">
        <w:rPr>
          <w:rFonts w:ascii="TH SarabunPSK" w:hAnsi="TH SarabunPSK" w:cs="TH SarabunPSK" w:hint="cs"/>
          <w:spacing w:val="-4"/>
          <w:sz w:val="34"/>
          <w:szCs w:val="34"/>
          <w:cs/>
        </w:rPr>
        <w:t>หรือจำนวนภาษีอากรที่ขอคืนโดยความเท็จ</w:t>
      </w:r>
      <w:r w:rsidR="00A83CAB">
        <w:rPr>
          <w:rFonts w:ascii="TH SarabunPSK" w:hAnsi="TH SarabunPSK" w:cs="TH SarabunPSK"/>
          <w:spacing w:val="-4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โดยฉ้อโกงหรืออุบาย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หรือโดยวิธีการอื่นใดทำนองเดียวกัน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ตั้งแต่สองล้านบาทต่อปีภาษีขึ้นไป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และผู้มีหน้าที่</w:t>
      </w:r>
      <w:r w:rsidR="001229EF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เสียภาษีอากรหรือนำส่งภาษีอากรดังกล่าวได้กระทำในลักษณะที่เป็นกระบวนการหรือเป็นเครือข่าย</w:t>
      </w:r>
      <w:r w:rsidR="001229EF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โดยสร้างธุรกรรมอันเป็นเท็จหรือปกปิดเงินได้พึงประเมินหรือรายได้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เพื่อหลีกเลี่ยงหรือฉ้อโกงภาษีอากร</w:t>
      </w:r>
      <w:r w:rsidR="001229EF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ละมีพฤติกรรมปกปิดหรือซ่อนเร้นทรัพย์สินที่เกี่ยวกับการกระทำความผิดเพื่อมิให้ติดตามทรัพย์สินนั้นได้</w:t>
      </w:r>
      <w:r w:rsidR="001229EF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ให้ถือว่าความผิดดังกล่าวเป็นความผิดมูลฐานตามกฎหมายว่าด้วยการป้องกันและปราบปรามการฟอกเงิน</w:t>
      </w:r>
      <w:r w:rsidR="001229EF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เมื่ออธิบดีโดยความเห็นชอบของคณะกรรมการพิจารณากลั่นกรองความผิดทางภาษีอากรที่เข้าข่าย</w:t>
      </w:r>
      <w:r w:rsidR="001229EF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ความผิดมูลฐานส่งข้อมูลที่เกี่ยวข้องให้สำนักงานป้องกันและปราบปรามการฟอกเงินแล้ว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ให้ดำเนินการ</w:t>
      </w:r>
      <w:r w:rsidR="001229EF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ตามกฎหมายว่าด้วยการป้องกันและปราบปรามการฟอกเงินต่อไป</w:t>
      </w:r>
    </w:p>
    <w:p w14:paraId="725EE70B" w14:textId="77777777" w:rsidR="001229EF" w:rsidRDefault="00D7685F" w:rsidP="001229E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คณะกรรมการตามวรรคหนึ่งประกอบด้วยอธิบดี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รองอธิบดีและที่ปรึกษากรมสรรพากรทุกคน</w:t>
      </w:r>
      <w:r>
        <w:rPr>
          <w:rFonts w:ascii="THSarabunPSK" w:hAnsi="THSarabunPSK" w:cs="THSarabunPSK" w:hint="cs"/>
          <w:sz w:val="34"/>
          <w:szCs w:val="34"/>
        </w:rPr>
        <w:t>”</w:t>
      </w:r>
      <w:r w:rsidR="001229EF">
        <w:rPr>
          <w:rFonts w:ascii="THSarabunPSK" w:hAnsi="THSarabunPSK" w:cs="THSarabunPSK"/>
          <w:sz w:val="34"/>
          <w:szCs w:val="34"/>
        </w:rPr>
        <w:br/>
      </w:r>
    </w:p>
    <w:p w14:paraId="3DD29386" w14:textId="35FBD374" w:rsidR="00D7685F" w:rsidRDefault="00E255C3" w:rsidP="001229E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</w:t>
      </w:r>
      <w:r w:rsidR="00D7685F">
        <w:rPr>
          <w:rFonts w:ascii="THSarabunPSK" w:hAnsi="THSarabunPSK" w:cs="THSarabunPSK" w:hint="cs"/>
          <w:sz w:val="34"/>
          <w:szCs w:val="34"/>
          <w:cs/>
        </w:rPr>
        <w:t>ผู้รับสนองพระราชโองการ</w:t>
      </w:r>
    </w:p>
    <w:p w14:paraId="52723F57" w14:textId="77777777" w:rsidR="00D7685F" w:rsidRDefault="00D7685F" w:rsidP="00175DF7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พลเอก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ประยุทธ์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จันทร์โอชา</w:t>
      </w:r>
    </w:p>
    <w:p w14:paraId="03F4C746" w14:textId="77A6CA27" w:rsidR="00D7685F" w:rsidRDefault="00E255C3" w:rsidP="00175DF7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</w:t>
      </w:r>
      <w:r w:rsidR="00D7685F">
        <w:rPr>
          <w:rFonts w:ascii="THSarabunPSK" w:hAnsi="THSarabunPSK" w:cs="THSarabunPSK" w:hint="cs"/>
          <w:sz w:val="34"/>
          <w:szCs w:val="34"/>
          <w:cs/>
        </w:rPr>
        <w:t>นายกรัฐมนตรี</w:t>
      </w:r>
    </w:p>
    <w:p w14:paraId="4F5E21C0" w14:textId="77777777" w:rsidR="001229EF" w:rsidRDefault="001229EF" w:rsidP="00175DF7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69419C70" w14:textId="77777777" w:rsidR="00AB5F44" w:rsidRDefault="00D7685F" w:rsidP="001229E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20"/>
          <w:szCs w:val="20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เหตุผลในการประกาศใช้พระราชบัญญัติฉบับนี้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เนื่องจากประเทศไทยในฐานะสมาชิกผู้ร่วมก่อตั้ง</w:t>
      </w:r>
      <w:r w:rsidR="001229EF">
        <w:rPr>
          <w:rFonts w:ascii="THSarabunPSK" w:hAnsi="THSarabunPSK" w:cs="THSarabunPSK"/>
          <w:sz w:val="32"/>
          <w:szCs w:val="32"/>
        </w:rPr>
        <w:br/>
      </w:r>
      <w:r w:rsidRPr="001229EF">
        <w:rPr>
          <w:rFonts w:ascii="TH SarabunPSK" w:hAnsi="TH SarabunPSK" w:cs="TH SarabunPSK"/>
          <w:spacing w:val="-4"/>
          <w:sz w:val="32"/>
          <w:szCs w:val="32"/>
        </w:rPr>
        <w:t xml:space="preserve">Asia Pacific Group on Money Laundering (APG) </w:t>
      </w:r>
      <w:r w:rsidRPr="001229EF">
        <w:rPr>
          <w:rFonts w:ascii="TH SarabunPSK" w:hAnsi="TH SarabunPSK" w:cs="TH SarabunPSK" w:hint="cs"/>
          <w:spacing w:val="-4"/>
          <w:sz w:val="32"/>
          <w:szCs w:val="32"/>
          <w:cs/>
        </w:rPr>
        <w:t>มีเหตุผลความจำเป็นที่จะต้องปฏิบัติตามข้อบังคับ</w:t>
      </w:r>
      <w:r w:rsidRPr="001229EF">
        <w:rPr>
          <w:rFonts w:ascii="TH SarabunPSK" w:hAnsi="TH SarabunPSK" w:cs="TH SarabunPSK"/>
          <w:spacing w:val="-4"/>
          <w:sz w:val="32"/>
          <w:szCs w:val="32"/>
        </w:rPr>
        <w:t xml:space="preserve"> (Terms of</w:t>
      </w:r>
      <w:r w:rsidR="001229EF">
        <w:rPr>
          <w:rFonts w:ascii="TH SarabunPSK" w:hAnsi="TH SarabunPSK" w:cs="TH SarabunPSK"/>
          <w:spacing w:val="-4"/>
          <w:sz w:val="32"/>
          <w:szCs w:val="32"/>
        </w:rPr>
        <w:br/>
      </w:r>
      <w:r>
        <w:rPr>
          <w:rFonts w:ascii="THSarabunPSK" w:hAnsi="THSarabunPSK" w:cs="THSarabunPSK"/>
          <w:sz w:val="32"/>
          <w:szCs w:val="32"/>
        </w:rPr>
        <w:t xml:space="preserve">References) </w:t>
      </w:r>
      <w:r>
        <w:rPr>
          <w:rFonts w:ascii="THSarabunPSK" w:hAnsi="THSarabunPSK" w:cs="THSarabunPSK" w:hint="cs"/>
          <w:sz w:val="32"/>
          <w:szCs w:val="32"/>
          <w:cs/>
        </w:rPr>
        <w:t>ที่กำหนดให้ประเทศสมาชิกต้องปฏิบัติตามข้อแนะนำของ</w:t>
      </w:r>
      <w:r>
        <w:rPr>
          <w:rFonts w:ascii="THSarabunPSK" w:hAnsi="THSarabunPSK" w:cs="THSarabunPSK"/>
          <w:sz w:val="32"/>
          <w:szCs w:val="32"/>
        </w:rPr>
        <w:t xml:space="preserve"> Financial Action Task Force (FATF)</w:t>
      </w:r>
      <w:r w:rsidR="001229EF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ในการกำหนดให้อาชญากรรมเกี่ยวกับภาษีอากรที่มีลักษณะร้ายแรงเป็นความผิดมูลฐานตามกฎหมายว่าด้วย</w:t>
      </w:r>
      <w:r w:rsidR="001229EF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การป้องกันและปราบปรามการฟอกเงิน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และเพื่อให้เป็นไปตามเหตุผลดังกล่าว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อีกทั้งเพื่อเพิ่มประสิทธิภาพ</w:t>
      </w:r>
      <w:r w:rsidR="001229EF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ในการปราบปรามการหลีกเลี่ยงและการฉ้อโกงภาษีอากร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สมควรกำหนดให้การกระทำความผิดเกี่ยวกับ</w:t>
      </w:r>
      <w:r w:rsidR="001229EF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การหลีกเลี่ยงหรือพยายามหลีกเลี่ยงภาษีอากรและการฉ้อโกงภาษีอากรที่มีลักษณะเป็นอาชญากรรมร้ายแรง</w:t>
      </w:r>
      <w:r w:rsidR="001229EF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เป็นความผิดมูลฐานตามกฎหมายว่าด้วยการป้องกันและปราบปรามการฟอกเงิน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จึงจำเป็นต้องตรา</w:t>
      </w:r>
      <w:r w:rsidR="001229EF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พระราชบัญญัตินี้</w:t>
      </w:r>
    </w:p>
    <w:p w14:paraId="44A7A225" w14:textId="77777777" w:rsidR="005608CB" w:rsidRDefault="005608CB" w:rsidP="00175DF7">
      <w:pPr>
        <w:jc w:val="thaiDistribute"/>
      </w:pPr>
    </w:p>
    <w:sectPr w:rsidR="005608CB" w:rsidSect="00E255C3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85F"/>
    <w:rsid w:val="001229EF"/>
    <w:rsid w:val="00175DF7"/>
    <w:rsid w:val="005608CB"/>
    <w:rsid w:val="006663C0"/>
    <w:rsid w:val="00A83CAB"/>
    <w:rsid w:val="00AB5F44"/>
    <w:rsid w:val="00BD373A"/>
    <w:rsid w:val="00D7685F"/>
    <w:rsid w:val="00E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4AFC"/>
  <w15:docId w15:val="{B4EAB1FB-690E-4893-B5FE-E609EE69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AD2D4-82E8-459C-96AF-BAD9E8D3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Erevenue2555</dc:creator>
  <cp:lastModifiedBy>ณัชชา ธรรมวัชระ</cp:lastModifiedBy>
  <cp:revision>5</cp:revision>
  <dcterms:created xsi:type="dcterms:W3CDTF">2017-04-03T08:49:00Z</dcterms:created>
  <dcterms:modified xsi:type="dcterms:W3CDTF">2025-02-27T07:47:00Z</dcterms:modified>
</cp:coreProperties>
</file>